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'1.0' encoding='UTF-8' standalone='yes'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14:paraId="38F044C7" w14:textId="C0044165" w:rsidR="00000001" w:rsidRDefault="00000001"><w:r w:rsidR="00000001"><w:t>salvageable paragraph</w:t></w:r></w:p><w:p w14:paraId="047F128E" w14:textId="D5D41A07" w:rsidR="00000001" w:rsidRDefault="00000001"><w:r w:rsidR="00000001"><w:t>second salvageable paragraph</w:t></w:r></w:p><w:sectPr w:rsidR="00FC693F" w:rsidRPr="0006063C" w:rsidSect="00034616"><w:pgSz w:w="12240" w:h="15840"/><w:pgMar w:top="1440" w:right="1800" w:bottom="1440" w:left="1800" w:header="720" w:footer="720" w:gutter="0"/><w:cols w:space="720"/><w:docGrid w:linePitch="360"/></w:sectPr></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